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1009"/>
        <w:gridCol w:w="1152"/>
        <w:gridCol w:w="1152"/>
        <w:gridCol w:w="1153"/>
        <w:gridCol w:w="431"/>
        <w:gridCol w:w="1440"/>
        <w:gridCol w:w="1441"/>
        <w:gridCol w:w="1440"/>
        <w:gridCol w:w="576"/>
        <w:gridCol w:w="1441"/>
        <w:gridCol w:w="1440"/>
        <w:gridCol w:w="1445"/>
      </w:tblGrid>
      <w:tr w:rsidR="001F3610" w:rsidRPr="00051DCB" w:rsidTr="00FE3D2A">
        <w:trPr>
          <w:trHeight w:val="264"/>
          <w:jc w:val="center"/>
        </w:trPr>
        <w:tc>
          <w:tcPr>
            <w:tcW w:w="15848" w:type="dxa"/>
            <w:gridSpan w:val="1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after="12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GB"/>
              </w:rPr>
            </w:pPr>
            <w:bookmarkStart w:id="0" w:name="_GoBack"/>
            <w:r w:rsidRPr="00051DCB">
              <w:rPr>
                <w:rFonts w:cs="Arial"/>
                <w:b/>
                <w:spacing w:val="-1"/>
                <w:sz w:val="24"/>
              </w:rPr>
              <w:t>CGI</w:t>
            </w:r>
            <w:r w:rsidRPr="00051DCB">
              <w:rPr>
                <w:rFonts w:cs="Arial"/>
                <w:b/>
                <w:spacing w:val="-3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Severity,</w:t>
            </w:r>
            <w:r w:rsidRPr="00051DCB">
              <w:rPr>
                <w:rFonts w:cs="Arial"/>
                <w:b/>
                <w:spacing w:val="-4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2"/>
                <w:sz w:val="24"/>
              </w:rPr>
              <w:t>CGI</w:t>
            </w:r>
            <w:r w:rsidRPr="00051DCB">
              <w:rPr>
                <w:rFonts w:cs="Arial"/>
                <w:b/>
                <w:spacing w:val="-3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improvement</w:t>
            </w:r>
            <w:r w:rsidRPr="00051DCB">
              <w:rPr>
                <w:rFonts w:cs="Arial"/>
                <w:b/>
                <w:spacing w:val="-3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and</w:t>
            </w:r>
            <w:r w:rsidRPr="00051DCB">
              <w:rPr>
                <w:rFonts w:cs="Arial"/>
                <w:b/>
                <w:spacing w:val="-3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Sheehan</w:t>
            </w:r>
            <w:r w:rsidRPr="00051DCB">
              <w:rPr>
                <w:rFonts w:cs="Arial"/>
                <w:b/>
                <w:spacing w:val="-3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Disability</w:t>
            </w:r>
            <w:r w:rsidRPr="00051DCB">
              <w:rPr>
                <w:rFonts w:cs="Arial"/>
                <w:b/>
                <w:spacing w:val="-4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Scale</w:t>
            </w:r>
            <w:r w:rsidRPr="00051DCB">
              <w:rPr>
                <w:rFonts w:cs="Arial"/>
                <w:b/>
                <w:spacing w:val="-5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scores</w:t>
            </w:r>
            <w:r w:rsidRPr="00051DCB">
              <w:rPr>
                <w:rFonts w:cs="Arial"/>
                <w:b/>
                <w:spacing w:val="-4"/>
                <w:sz w:val="24"/>
              </w:rPr>
              <w:t xml:space="preserve"> </w:t>
            </w:r>
            <w:bookmarkEnd w:id="0"/>
            <w:r w:rsidRPr="00051DCB">
              <w:rPr>
                <w:rFonts w:cs="Arial"/>
                <w:b/>
                <w:sz w:val="24"/>
              </w:rPr>
              <w:t>on</w:t>
            </w:r>
            <w:r w:rsidRPr="00051DCB">
              <w:rPr>
                <w:rFonts w:cs="Arial"/>
                <w:b/>
                <w:spacing w:val="-3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CBT,</w:t>
            </w:r>
            <w:r w:rsidRPr="00051DCB">
              <w:rPr>
                <w:rFonts w:cs="Arial"/>
                <w:b/>
                <w:spacing w:val="49"/>
                <w:w w:val="99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sertraline</w:t>
            </w:r>
            <w:r w:rsidRPr="00051DCB">
              <w:rPr>
                <w:rFonts w:cs="Arial"/>
                <w:b/>
                <w:spacing w:val="-6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or</w:t>
            </w:r>
            <w:r w:rsidRPr="00051DCB">
              <w:rPr>
                <w:rFonts w:cs="Arial"/>
                <w:b/>
                <w:spacing w:val="-3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combined</w:t>
            </w:r>
            <w:r w:rsidRPr="00051DCB">
              <w:rPr>
                <w:rFonts w:cs="Arial"/>
                <w:b/>
                <w:spacing w:val="-5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treatment;</w:t>
            </w:r>
            <w:r w:rsidRPr="00051DCB">
              <w:rPr>
                <w:rFonts w:cs="Arial"/>
                <w:b/>
                <w:spacing w:val="-3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3"/>
                <w:sz w:val="24"/>
              </w:rPr>
              <w:br/>
              <w:t>O</w:t>
            </w:r>
            <w:r w:rsidRPr="00051DCB">
              <w:rPr>
                <w:rFonts w:cs="Arial"/>
                <w:b/>
                <w:spacing w:val="-1"/>
                <w:sz w:val="24"/>
              </w:rPr>
              <w:t>bserved</w:t>
            </w:r>
            <w:r w:rsidRPr="00051DCB">
              <w:rPr>
                <w:rFonts w:cs="Arial"/>
                <w:b/>
                <w:spacing w:val="-3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2"/>
                <w:sz w:val="24"/>
              </w:rPr>
              <w:t>case</w:t>
            </w:r>
            <w:r w:rsidRPr="00051DCB">
              <w:rPr>
                <w:rFonts w:cs="Arial"/>
                <w:b/>
                <w:spacing w:val="-5"/>
                <w:sz w:val="24"/>
              </w:rPr>
              <w:t xml:space="preserve"> </w:t>
            </w:r>
            <w:r w:rsidRPr="00051DCB">
              <w:rPr>
                <w:rFonts w:cs="Arial"/>
                <w:b/>
                <w:spacing w:val="-1"/>
                <w:sz w:val="24"/>
              </w:rPr>
              <w:t>analysis and intent to treat analysis</w:t>
            </w:r>
          </w:p>
        </w:tc>
      </w:tr>
      <w:tr w:rsidR="001F3610" w:rsidRPr="00051DCB" w:rsidTr="00FE3D2A">
        <w:trPr>
          <w:trHeight w:val="212"/>
          <w:jc w:val="center"/>
        </w:trPr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after="120" w:line="240" w:lineRule="auto"/>
              <w:rPr>
                <w:rFonts w:eastAsia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051DCB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Study Arm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32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051DCB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 xml:space="preserve">Difference between Arms 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32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 xml:space="preserve">Adjusted Difference (ITT) </w:t>
            </w:r>
          </w:p>
        </w:tc>
      </w:tr>
      <w:tr w:rsidR="001F3610" w:rsidRPr="00051DCB" w:rsidTr="00FE3D2A">
        <w:trPr>
          <w:trHeight w:val="61"/>
          <w:jc w:val="center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3610" w:rsidRPr="00051DCB" w:rsidRDefault="001F3610" w:rsidP="00FE3D2A">
            <w:pPr>
              <w:spacing w:after="120" w:line="240" w:lineRule="auto"/>
              <w:rPr>
                <w:rFonts w:eastAsia="Times New Roman" w:cs="Times New Roman"/>
                <w:b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051DCB">
              <w:rPr>
                <w:rFonts w:eastAsia="Times New Roman" w:cs="Times New Roman"/>
                <w:sz w:val="18"/>
                <w:szCs w:val="18"/>
                <w:lang w:eastAsia="en-GB"/>
              </w:rPr>
              <w:t>All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051DCB">
              <w:rPr>
                <w:rFonts w:eastAsia="Times New Roman" w:cs="Times New Roman"/>
                <w:sz w:val="18"/>
                <w:szCs w:val="18"/>
                <w:lang w:eastAsia="en-GB"/>
              </w:rPr>
              <w:t>CBT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051DCB">
              <w:rPr>
                <w:rFonts w:eastAsia="Times New Roman" w:cs="Times New Roman"/>
                <w:sz w:val="18"/>
                <w:szCs w:val="18"/>
                <w:lang w:eastAsia="en-GB"/>
              </w:rPr>
              <w:t>Sertraline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051DCB">
              <w:rPr>
                <w:rFonts w:eastAsia="Times New Roman" w:cs="Times New Roman"/>
                <w:sz w:val="18"/>
                <w:szCs w:val="18"/>
                <w:lang w:eastAsia="en-GB"/>
              </w:rPr>
              <w:t>Combined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051DCB">
              <w:rPr>
                <w:rFonts w:eastAsia="Times New Roman" w:cs="Times New Roman"/>
                <w:sz w:val="18"/>
                <w:szCs w:val="18"/>
                <w:lang w:eastAsia="en-GB"/>
              </w:rPr>
              <w:t>CBT vs Sertraline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051DCB">
              <w:rPr>
                <w:rFonts w:eastAsia="Times New Roman" w:cs="Times New Roman"/>
                <w:sz w:val="18"/>
                <w:szCs w:val="18"/>
                <w:lang w:eastAsia="en-GB"/>
              </w:rPr>
              <w:t>CBT vs Combined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051DCB">
              <w:rPr>
                <w:rFonts w:eastAsia="Times New Roman" w:cs="Times New Roman"/>
                <w:sz w:val="18"/>
                <w:szCs w:val="18"/>
                <w:lang w:eastAsia="en-GB"/>
              </w:rPr>
              <w:t>Sertraline vs Combined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color w:val="FF0000"/>
                <w:sz w:val="18"/>
                <w:szCs w:val="18"/>
                <w:lang w:eastAsia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051DCB">
              <w:rPr>
                <w:rFonts w:eastAsia="Times New Roman" w:cs="Times New Roman"/>
                <w:sz w:val="18"/>
                <w:szCs w:val="18"/>
                <w:lang w:eastAsia="en-GB"/>
              </w:rPr>
              <w:t>CBT vs Sertraline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051DCB">
              <w:rPr>
                <w:rFonts w:eastAsia="Times New Roman" w:cs="Times New Roman"/>
                <w:sz w:val="18"/>
                <w:szCs w:val="18"/>
                <w:lang w:eastAsia="en-GB"/>
              </w:rPr>
              <w:t>CBT vs Combined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3610" w:rsidRPr="00051DCB" w:rsidRDefault="001F3610" w:rsidP="00FE3D2A">
            <w:pPr>
              <w:spacing w:after="12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en-GB"/>
              </w:rPr>
            </w:pPr>
            <w:r w:rsidRPr="00051DCB">
              <w:rPr>
                <w:rFonts w:eastAsia="Times New Roman" w:cs="Times New Roman"/>
                <w:sz w:val="18"/>
                <w:szCs w:val="18"/>
                <w:lang w:eastAsia="en-GB"/>
              </w:rPr>
              <w:t>Sertraline vs Combined</w:t>
            </w:r>
          </w:p>
        </w:tc>
      </w:tr>
      <w:tr w:rsidR="001F3610" w:rsidRPr="00051DCB" w:rsidTr="00FE3D2A">
        <w:trPr>
          <w:trHeight w:val="308"/>
          <w:jc w:val="center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610" w:rsidRPr="00051DCB" w:rsidRDefault="001F3610" w:rsidP="00FE3D2A">
            <w:pPr>
              <w:spacing w:line="240" w:lineRule="auto"/>
              <w:rPr>
                <w:b/>
                <w:sz w:val="18"/>
                <w:szCs w:val="18"/>
              </w:rPr>
            </w:pPr>
            <w:r w:rsidRPr="00051DCB">
              <w:rPr>
                <w:b/>
                <w:sz w:val="18"/>
                <w:szCs w:val="18"/>
              </w:rPr>
              <w:t>Baseline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F3610" w:rsidRPr="00051DCB" w:rsidTr="00FE3D2A">
        <w:trPr>
          <w:trHeight w:val="222"/>
          <w:jc w:val="center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CGI Severity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4.4 (.96)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4.2 (1.0)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4.4 (.85)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4.4 (.98)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CGI Improvement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F3610" w:rsidRPr="00051DCB" w:rsidTr="00FE3D2A">
        <w:trPr>
          <w:trHeight w:val="169"/>
          <w:jc w:val="center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SDS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18.0 (7.0)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16.3 (6.8)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18.5 (8.3)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19.1 (6.3)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F3610" w:rsidRPr="00051DCB" w:rsidRDefault="001F3610" w:rsidP="00FE3D2A">
            <w:pPr>
              <w:spacing w:line="240" w:lineRule="auto"/>
              <w:rPr>
                <w:b/>
                <w:sz w:val="18"/>
                <w:szCs w:val="18"/>
              </w:rPr>
            </w:pPr>
            <w:r w:rsidRPr="00051DCB">
              <w:rPr>
                <w:b/>
                <w:sz w:val="18"/>
                <w:szCs w:val="18"/>
              </w:rPr>
              <w:t>Week 8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9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14</w:t>
            </w: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CGI Severity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4.1 (1.2)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4.3 (1.2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3.7 (1.2)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4.1 (1.2)</w:t>
            </w: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.67 (-.47 , 1.8)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.26 (-.72 , 1.2)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.4 (-.67 , 1.5)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.6 (-.3 , 1.6)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.6 (-.4 , 1.5)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-.1 (-.8 , .6)</w:t>
            </w: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CGI Improvement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3.4 (1.1)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3.6 (1.4)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3.2 (0.8)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3.4 (1.1)</w:t>
            </w: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0.4 (-0.7 , 1.5)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0.2 (-0.8 , 1.2)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-0.1 (-1.0 , 0.7)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SDS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12.8 (8.0)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13.5 (7.7)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11.8 (7.4)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13.1 (9.0)</w:t>
            </w:r>
          </w:p>
        </w:tc>
        <w:tc>
          <w:tcPr>
            <w:tcW w:w="43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1.7 (-5.7 , 9.0)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.34 (-6.9 , 7.6)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1.3 (-6..1 , 8.8)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2.4 (-3.7 , 8.5)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3.7 (-1.9 , 9.3)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1.3 (-4.7 , 7.3)</w:t>
            </w: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shd w:val="clear" w:color="auto" w:fill="auto"/>
            <w:noWrap/>
            <w:hideMark/>
          </w:tcPr>
          <w:p w:rsidR="001F3610" w:rsidRPr="00051DCB" w:rsidRDefault="001F3610" w:rsidP="00FE3D2A">
            <w:pPr>
              <w:spacing w:line="240" w:lineRule="auto"/>
              <w:rPr>
                <w:b/>
                <w:sz w:val="18"/>
                <w:szCs w:val="18"/>
              </w:rPr>
            </w:pPr>
            <w:r w:rsidRPr="00051DCB">
              <w:rPr>
                <w:b/>
                <w:sz w:val="18"/>
                <w:szCs w:val="18"/>
              </w:rPr>
              <w:t>Week 16</w:t>
            </w:r>
          </w:p>
        </w:tc>
        <w:tc>
          <w:tcPr>
            <w:tcW w:w="1009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29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9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7</w:t>
            </w:r>
          </w:p>
        </w:tc>
        <w:tc>
          <w:tcPr>
            <w:tcW w:w="1153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13</w:t>
            </w:r>
          </w:p>
        </w:tc>
        <w:tc>
          <w:tcPr>
            <w:tcW w:w="43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shd w:val="clear" w:color="auto" w:fill="auto"/>
            <w:noWrap/>
            <w:hideMark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CGI Severity</w:t>
            </w:r>
          </w:p>
        </w:tc>
        <w:tc>
          <w:tcPr>
            <w:tcW w:w="1009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3.7 (1.6)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4.3 (1.0)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3.4 (2.2)</w:t>
            </w:r>
          </w:p>
        </w:tc>
        <w:tc>
          <w:tcPr>
            <w:tcW w:w="1153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3.3 (1.4)</w:t>
            </w:r>
          </w:p>
        </w:tc>
        <w:tc>
          <w:tcPr>
            <w:tcW w:w="43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.90 (-.86 , 2.7)</w:t>
            </w:r>
          </w:p>
        </w:tc>
        <w:tc>
          <w:tcPr>
            <w:tcW w:w="144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1.0 (-.13 , 2.2)</w:t>
            </w: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-.12 (-1.8 , 1.6)</w:t>
            </w:r>
          </w:p>
        </w:tc>
        <w:tc>
          <w:tcPr>
            <w:tcW w:w="576" w:type="dxa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.63 (-7 , 2.0)</w:t>
            </w:r>
          </w:p>
        </w:tc>
        <w:tc>
          <w:tcPr>
            <w:tcW w:w="1440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1.1 (.2 , 1.9)</w:t>
            </w:r>
          </w:p>
        </w:tc>
        <w:tc>
          <w:tcPr>
            <w:tcW w:w="1445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.45 (-.9 , 1.8)</w:t>
            </w: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CGI Improvement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3.0 (1.3)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3.6 (1.2)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3.1 (1.6)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2.5 (1.1)</w:t>
            </w:r>
          </w:p>
        </w:tc>
        <w:tc>
          <w:tcPr>
            <w:tcW w:w="43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0.4 (-1.1 - 1.9)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1.1 (0.1 - 2.1)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0.7 (-05 - 1.9)</w:t>
            </w:r>
          </w:p>
        </w:tc>
        <w:tc>
          <w:tcPr>
            <w:tcW w:w="576" w:type="dxa"/>
            <w:vAlign w:val="bottom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.01 (-1.2 , 1.2)</w:t>
            </w:r>
          </w:p>
        </w:tc>
        <w:tc>
          <w:tcPr>
            <w:tcW w:w="1440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.77 (-.5 , 2.0)</w:t>
            </w:r>
          </w:p>
        </w:tc>
        <w:tc>
          <w:tcPr>
            <w:tcW w:w="1445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.76 (-.4 , 1.9)</w:t>
            </w: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SDS</w:t>
            </w:r>
          </w:p>
        </w:tc>
        <w:tc>
          <w:tcPr>
            <w:tcW w:w="1009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11.7 (9.0)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13.8 (8.3)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13.5 (9.9)</w:t>
            </w:r>
          </w:p>
        </w:tc>
        <w:tc>
          <w:tcPr>
            <w:tcW w:w="1153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9.3 (8.9)</w:t>
            </w:r>
          </w:p>
        </w:tc>
        <w:tc>
          <w:tcPr>
            <w:tcW w:w="43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.33 (-9.4 , 10.1)</w:t>
            </w:r>
          </w:p>
        </w:tc>
        <w:tc>
          <w:tcPr>
            <w:tcW w:w="144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4.6 (-3.3 , 12.4)</w:t>
            </w: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4.2 (-4.9 , 13.4)</w:t>
            </w:r>
          </w:p>
        </w:tc>
        <w:tc>
          <w:tcPr>
            <w:tcW w:w="576" w:type="dxa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vAlign w:val="bottom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.81 (-5.2 , 6.8)</w:t>
            </w:r>
          </w:p>
        </w:tc>
        <w:tc>
          <w:tcPr>
            <w:tcW w:w="1440" w:type="dxa"/>
            <w:vAlign w:val="bottom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6.4 (1.2 , 11.6)</w:t>
            </w:r>
          </w:p>
        </w:tc>
        <w:tc>
          <w:tcPr>
            <w:tcW w:w="1445" w:type="dxa"/>
            <w:vAlign w:val="bottom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5.6 (-1.0 , 12.1)</w:t>
            </w: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shd w:val="clear" w:color="auto" w:fill="auto"/>
            <w:noWrap/>
            <w:hideMark/>
          </w:tcPr>
          <w:p w:rsidR="001F3610" w:rsidRPr="00051DCB" w:rsidRDefault="001F3610" w:rsidP="00FE3D2A">
            <w:pPr>
              <w:spacing w:line="240" w:lineRule="auto"/>
              <w:rPr>
                <w:b/>
                <w:sz w:val="18"/>
                <w:szCs w:val="18"/>
              </w:rPr>
            </w:pPr>
            <w:r w:rsidRPr="00051DCB">
              <w:rPr>
                <w:b/>
                <w:sz w:val="18"/>
                <w:szCs w:val="18"/>
              </w:rPr>
              <w:t>Week 32</w:t>
            </w:r>
          </w:p>
        </w:tc>
        <w:tc>
          <w:tcPr>
            <w:tcW w:w="1009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23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9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6</w:t>
            </w:r>
          </w:p>
        </w:tc>
        <w:tc>
          <w:tcPr>
            <w:tcW w:w="1153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8</w:t>
            </w:r>
          </w:p>
        </w:tc>
        <w:tc>
          <w:tcPr>
            <w:tcW w:w="43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76" w:type="dxa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shd w:val="clear" w:color="auto" w:fill="auto"/>
            <w:noWrap/>
            <w:hideMark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CGI Severity</w:t>
            </w:r>
          </w:p>
        </w:tc>
        <w:tc>
          <w:tcPr>
            <w:tcW w:w="1009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3.4 (1.5)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3.8 (1.1)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2.8 (1.7)</w:t>
            </w:r>
          </w:p>
        </w:tc>
        <w:tc>
          <w:tcPr>
            <w:tcW w:w="1153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3.5 (1.9)</w:t>
            </w:r>
          </w:p>
        </w:tc>
        <w:tc>
          <w:tcPr>
            <w:tcW w:w="43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.94 (-.62 , 2.5)</w:t>
            </w:r>
          </w:p>
        </w:tc>
        <w:tc>
          <w:tcPr>
            <w:tcW w:w="144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.28 (-1.3 , 1.8)</w:t>
            </w: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.67 (-1.5 , 2.8)</w:t>
            </w:r>
          </w:p>
        </w:tc>
        <w:tc>
          <w:tcPr>
            <w:tcW w:w="576" w:type="dxa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.4 (-.8 , 1.7)</w:t>
            </w:r>
          </w:p>
        </w:tc>
        <w:tc>
          <w:tcPr>
            <w:tcW w:w="1440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.3 (-1.1 , 1.7)</w:t>
            </w:r>
          </w:p>
        </w:tc>
        <w:tc>
          <w:tcPr>
            <w:tcW w:w="1445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-.2 (-1.7 , .5)</w:t>
            </w:r>
          </w:p>
        </w:tc>
      </w:tr>
      <w:tr w:rsidR="001F3610" w:rsidRPr="00051DCB" w:rsidTr="00FE3D2A">
        <w:trPr>
          <w:trHeight w:val="492"/>
          <w:jc w:val="center"/>
        </w:trPr>
        <w:tc>
          <w:tcPr>
            <w:tcW w:w="1728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CGI Improvement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2.7 (1.5)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2.9 (0.8)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1.8 (1.2)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3.25 (2.0)</w:t>
            </w:r>
          </w:p>
        </w:tc>
        <w:tc>
          <w:tcPr>
            <w:tcW w:w="43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1.1 (-0.03 - 2.13)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-0.4 (-1.9 - 1.2)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-1.4 (-3.4 - 0.6)</w:t>
            </w:r>
          </w:p>
        </w:tc>
        <w:tc>
          <w:tcPr>
            <w:tcW w:w="576" w:type="dxa"/>
            <w:vAlign w:val="bottom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.5 (-.8 , 1.7)</w:t>
            </w:r>
          </w:p>
        </w:tc>
        <w:tc>
          <w:tcPr>
            <w:tcW w:w="1440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-.8 (-2.3 , .7)</w:t>
            </w:r>
          </w:p>
        </w:tc>
        <w:tc>
          <w:tcPr>
            <w:tcW w:w="1445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-1.3 (-3.0 , .4)</w:t>
            </w:r>
          </w:p>
        </w:tc>
      </w:tr>
      <w:tr w:rsidR="001F3610" w:rsidRPr="00051DCB" w:rsidTr="00FE3D2A">
        <w:trPr>
          <w:trHeight w:val="480"/>
          <w:jc w:val="center"/>
        </w:trPr>
        <w:tc>
          <w:tcPr>
            <w:tcW w:w="1728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SDS</w:t>
            </w:r>
          </w:p>
        </w:tc>
        <w:tc>
          <w:tcPr>
            <w:tcW w:w="1009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8.7 (8.8)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7.9 (5.8)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7.9 (11.3)</w:t>
            </w:r>
          </w:p>
        </w:tc>
        <w:tc>
          <w:tcPr>
            <w:tcW w:w="1153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10.1 (10.2)</w:t>
            </w:r>
          </w:p>
        </w:tc>
        <w:tc>
          <w:tcPr>
            <w:tcW w:w="43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-.04 (-10.1 , 10.0)</w:t>
            </w:r>
          </w:p>
        </w:tc>
        <w:tc>
          <w:tcPr>
            <w:tcW w:w="144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-2.3 (-11.2 , 6.7)</w:t>
            </w: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-2.2 (-14.8 , 10.4)</w:t>
            </w:r>
          </w:p>
        </w:tc>
        <w:tc>
          <w:tcPr>
            <w:tcW w:w="576" w:type="dxa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vAlign w:val="bottom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.4 (-7.7 , 8.5)</w:t>
            </w:r>
          </w:p>
        </w:tc>
        <w:tc>
          <w:tcPr>
            <w:tcW w:w="1440" w:type="dxa"/>
            <w:vAlign w:val="bottom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-.6 (-5.8 , 4.6)</w:t>
            </w:r>
          </w:p>
        </w:tc>
        <w:tc>
          <w:tcPr>
            <w:tcW w:w="1445" w:type="dxa"/>
            <w:vAlign w:val="bottom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1.0 (-9.4 , 7.4)</w:t>
            </w: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shd w:val="clear" w:color="auto" w:fill="auto"/>
            <w:noWrap/>
            <w:hideMark/>
          </w:tcPr>
          <w:p w:rsidR="001F3610" w:rsidRPr="00051DCB" w:rsidRDefault="001F3610" w:rsidP="00FE3D2A">
            <w:pPr>
              <w:spacing w:line="240" w:lineRule="auto"/>
              <w:rPr>
                <w:b/>
                <w:sz w:val="18"/>
                <w:szCs w:val="18"/>
              </w:rPr>
            </w:pPr>
            <w:r w:rsidRPr="00051DCB">
              <w:rPr>
                <w:b/>
                <w:sz w:val="18"/>
                <w:szCs w:val="18"/>
              </w:rPr>
              <w:lastRenderedPageBreak/>
              <w:t>Week 52</w:t>
            </w:r>
          </w:p>
        </w:tc>
        <w:tc>
          <w:tcPr>
            <w:tcW w:w="1009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23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8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6</w:t>
            </w:r>
          </w:p>
        </w:tc>
        <w:tc>
          <w:tcPr>
            <w:tcW w:w="1153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9</w:t>
            </w:r>
          </w:p>
        </w:tc>
        <w:tc>
          <w:tcPr>
            <w:tcW w:w="43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76" w:type="dxa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5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shd w:val="clear" w:color="auto" w:fill="auto"/>
            <w:noWrap/>
            <w:hideMark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CGI Severity</w:t>
            </w:r>
          </w:p>
        </w:tc>
        <w:tc>
          <w:tcPr>
            <w:tcW w:w="1009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2.8 (1.6)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2.9 (1.8)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2.2 (1.2)</w:t>
            </w:r>
          </w:p>
        </w:tc>
        <w:tc>
          <w:tcPr>
            <w:tcW w:w="1153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3.2 (1.7)</w:t>
            </w:r>
          </w:p>
        </w:tc>
        <w:tc>
          <w:tcPr>
            <w:tcW w:w="43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.71 (-1.1 , 2.6)</w:t>
            </w:r>
          </w:p>
        </w:tc>
        <w:tc>
          <w:tcPr>
            <w:tcW w:w="144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-.34 (-2.2 , 3.9)</w:t>
            </w: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051DCB">
              <w:rPr>
                <w:sz w:val="18"/>
                <w:szCs w:val="18"/>
              </w:rPr>
              <w:t>1.1 (-.69 , 2.8)</w:t>
            </w:r>
          </w:p>
        </w:tc>
        <w:tc>
          <w:tcPr>
            <w:tcW w:w="576" w:type="dxa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.11 (-1.3 , 1.5)</w:t>
            </w:r>
          </w:p>
        </w:tc>
        <w:tc>
          <w:tcPr>
            <w:tcW w:w="1440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-.47 (-2.1 , 1.1)</w:t>
            </w:r>
          </w:p>
        </w:tc>
        <w:tc>
          <w:tcPr>
            <w:tcW w:w="1445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-.57 (-1.7 , .5)</w:t>
            </w:r>
          </w:p>
        </w:tc>
      </w:tr>
      <w:tr w:rsidR="001F3610" w:rsidRPr="00051DCB" w:rsidTr="00FE3D2A">
        <w:trPr>
          <w:trHeight w:val="320"/>
          <w:jc w:val="center"/>
        </w:trPr>
        <w:tc>
          <w:tcPr>
            <w:tcW w:w="1728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CGI Improvement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2.3 (1.5)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2.6 (2.1)</w:t>
            </w:r>
          </w:p>
        </w:tc>
        <w:tc>
          <w:tcPr>
            <w:tcW w:w="1152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2.2 (1.5)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2.1 (1.4)</w:t>
            </w:r>
          </w:p>
        </w:tc>
        <w:tc>
          <w:tcPr>
            <w:tcW w:w="43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0.4 (-1.6 - 2.4)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0.5 (-1.4 - 2.3)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0.06 (-1.3 - 1.5)</w:t>
            </w:r>
          </w:p>
        </w:tc>
        <w:tc>
          <w:tcPr>
            <w:tcW w:w="576" w:type="dxa"/>
            <w:vAlign w:val="bottom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-.08 (-1.5 , 1.4)</w:t>
            </w:r>
          </w:p>
        </w:tc>
        <w:tc>
          <w:tcPr>
            <w:tcW w:w="1440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.12 (-1.5 , 1.7)</w:t>
            </w:r>
          </w:p>
        </w:tc>
        <w:tc>
          <w:tcPr>
            <w:tcW w:w="1445" w:type="dxa"/>
            <w:vAlign w:val="center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.20 (-1.1 , 1.5)</w:t>
            </w:r>
          </w:p>
        </w:tc>
      </w:tr>
      <w:tr w:rsidR="001F3610" w:rsidRPr="00051DCB" w:rsidTr="00FE3D2A">
        <w:trPr>
          <w:trHeight w:val="61"/>
          <w:jc w:val="center"/>
        </w:trPr>
        <w:tc>
          <w:tcPr>
            <w:tcW w:w="1728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SDS</w:t>
            </w:r>
          </w:p>
        </w:tc>
        <w:tc>
          <w:tcPr>
            <w:tcW w:w="1009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9.3 (10.1)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9.8 (11.2)</w:t>
            </w:r>
          </w:p>
        </w:tc>
        <w:tc>
          <w:tcPr>
            <w:tcW w:w="1152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8.1 (10.7)</w:t>
            </w:r>
          </w:p>
        </w:tc>
        <w:tc>
          <w:tcPr>
            <w:tcW w:w="1153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9.7 (9.7)</w:t>
            </w:r>
          </w:p>
        </w:tc>
        <w:tc>
          <w:tcPr>
            <w:tcW w:w="43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1.7 (-11.2 , 14.7)</w:t>
            </w:r>
          </w:p>
        </w:tc>
        <w:tc>
          <w:tcPr>
            <w:tcW w:w="1441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.1 (-10.7 , 10.9)</w:t>
            </w:r>
          </w:p>
        </w:tc>
        <w:tc>
          <w:tcPr>
            <w:tcW w:w="1440" w:type="dxa"/>
            <w:shd w:val="clear" w:color="auto" w:fill="auto"/>
            <w:noWrap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-1.6 (13.2 , 9.9)</w:t>
            </w:r>
          </w:p>
        </w:tc>
        <w:tc>
          <w:tcPr>
            <w:tcW w:w="576" w:type="dxa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1" w:type="dxa"/>
            <w:vAlign w:val="bottom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1.2 (-7.6 , 10.1)</w:t>
            </w:r>
          </w:p>
        </w:tc>
        <w:tc>
          <w:tcPr>
            <w:tcW w:w="1440" w:type="dxa"/>
            <w:vAlign w:val="bottom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1.0 (-6.0 , 8.0)</w:t>
            </w:r>
          </w:p>
        </w:tc>
        <w:tc>
          <w:tcPr>
            <w:tcW w:w="1445" w:type="dxa"/>
            <w:vAlign w:val="bottom"/>
          </w:tcPr>
          <w:p w:rsidR="001F3610" w:rsidRPr="00051DCB" w:rsidRDefault="001F3610" w:rsidP="00FE3D2A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51DCB">
              <w:rPr>
                <w:sz w:val="18"/>
                <w:szCs w:val="18"/>
              </w:rPr>
              <w:t>.23 (-8.5 , 8.0)</w:t>
            </w:r>
          </w:p>
        </w:tc>
      </w:tr>
    </w:tbl>
    <w:p w:rsidR="00E5529E" w:rsidRDefault="001F3610">
      <w:r w:rsidRPr="00051DCB">
        <w:rPr>
          <w:rFonts w:ascii="Calibri"/>
          <w:spacing w:val="-1"/>
          <w:sz w:val="18"/>
          <w:szCs w:val="18"/>
        </w:rPr>
        <w:t>On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the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pacing w:val="-1"/>
          <w:sz w:val="18"/>
          <w:szCs w:val="18"/>
        </w:rPr>
        <w:t>left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hand</w:t>
      </w:r>
      <w:r w:rsidRPr="00051DCB">
        <w:rPr>
          <w:rFonts w:ascii="Calibri"/>
          <w:spacing w:val="-4"/>
          <w:sz w:val="18"/>
          <w:szCs w:val="18"/>
        </w:rPr>
        <w:t xml:space="preserve"> </w:t>
      </w:r>
      <w:r w:rsidRPr="00051DCB">
        <w:rPr>
          <w:rFonts w:ascii="Calibri"/>
          <w:spacing w:val="-1"/>
          <w:sz w:val="18"/>
          <w:szCs w:val="18"/>
        </w:rPr>
        <w:t>side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of</w:t>
      </w:r>
      <w:r w:rsidRPr="00051DCB">
        <w:rPr>
          <w:rFonts w:ascii="Calibri"/>
          <w:spacing w:val="-6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the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table,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the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pacing w:val="-1"/>
          <w:sz w:val="18"/>
          <w:szCs w:val="18"/>
        </w:rPr>
        <w:t>numbers</w:t>
      </w:r>
      <w:r w:rsidRPr="00051DCB">
        <w:rPr>
          <w:rFonts w:ascii="Calibri"/>
          <w:spacing w:val="-6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of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randomised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patients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completing</w:t>
      </w:r>
      <w:r w:rsidRPr="00051DCB">
        <w:rPr>
          <w:rFonts w:ascii="Calibri"/>
          <w:spacing w:val="-6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each</w:t>
      </w:r>
      <w:r w:rsidRPr="00051DCB">
        <w:rPr>
          <w:rFonts w:ascii="Calibri"/>
          <w:spacing w:val="-4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rating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point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of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the</w:t>
      </w:r>
      <w:r w:rsidRPr="00051DCB">
        <w:rPr>
          <w:rFonts w:ascii="Calibri"/>
          <w:spacing w:val="38"/>
          <w:w w:val="99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study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are</w:t>
      </w:r>
      <w:r w:rsidRPr="00051DCB">
        <w:rPr>
          <w:rFonts w:ascii="Calibri"/>
          <w:spacing w:val="-6"/>
          <w:sz w:val="18"/>
          <w:szCs w:val="18"/>
        </w:rPr>
        <w:t xml:space="preserve"> </w:t>
      </w:r>
      <w:r w:rsidRPr="00051DCB">
        <w:rPr>
          <w:rFonts w:ascii="Calibri"/>
          <w:spacing w:val="-1"/>
          <w:sz w:val="18"/>
          <w:szCs w:val="18"/>
        </w:rPr>
        <w:t>listed</w:t>
      </w:r>
      <w:r w:rsidRPr="00051DCB">
        <w:rPr>
          <w:rFonts w:ascii="Calibri"/>
          <w:spacing w:val="-4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in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the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row</w:t>
      </w:r>
      <w:r w:rsidRPr="00051DCB">
        <w:rPr>
          <w:rFonts w:ascii="Calibri"/>
          <w:spacing w:val="-6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below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the</w:t>
      </w:r>
      <w:r w:rsidRPr="00051DCB">
        <w:rPr>
          <w:rFonts w:ascii="Calibri"/>
          <w:spacing w:val="-6"/>
          <w:sz w:val="18"/>
          <w:szCs w:val="18"/>
        </w:rPr>
        <w:t xml:space="preserve"> </w:t>
      </w:r>
      <w:r w:rsidRPr="00051DCB">
        <w:rPr>
          <w:rFonts w:ascii="Calibri"/>
          <w:spacing w:val="-1"/>
          <w:sz w:val="18"/>
          <w:szCs w:val="18"/>
        </w:rPr>
        <w:t>mean</w:t>
      </w:r>
      <w:r w:rsidRPr="00051DCB">
        <w:rPr>
          <w:rFonts w:ascii="Calibri"/>
          <w:spacing w:val="-3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total</w:t>
      </w:r>
      <w:r w:rsidRPr="00051DCB">
        <w:rPr>
          <w:rFonts w:ascii="Calibri"/>
          <w:spacing w:val="-6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rating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scale</w:t>
      </w:r>
      <w:r w:rsidRPr="00051DCB">
        <w:rPr>
          <w:rFonts w:ascii="Calibri"/>
          <w:spacing w:val="-6"/>
          <w:sz w:val="18"/>
          <w:szCs w:val="18"/>
        </w:rPr>
        <w:t xml:space="preserve"> </w:t>
      </w:r>
      <w:r w:rsidRPr="00051DCB">
        <w:rPr>
          <w:rFonts w:ascii="Calibri"/>
          <w:sz w:val="18"/>
          <w:szCs w:val="18"/>
        </w:rPr>
        <w:t>score</w:t>
      </w:r>
      <w:r w:rsidRPr="00051DCB">
        <w:rPr>
          <w:rFonts w:ascii="Calibri"/>
          <w:spacing w:val="-5"/>
          <w:sz w:val="18"/>
          <w:szCs w:val="18"/>
        </w:rPr>
        <w:t xml:space="preserve"> </w:t>
      </w:r>
      <w:r w:rsidRPr="00051DCB">
        <w:rPr>
          <w:rFonts w:ascii="Calibri"/>
          <w:spacing w:val="-1"/>
          <w:sz w:val="18"/>
          <w:szCs w:val="18"/>
        </w:rPr>
        <w:t>(SD).</w:t>
      </w:r>
    </w:p>
    <w:sectPr w:rsidR="00E5529E" w:rsidSect="001F361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610"/>
    <w:rsid w:val="001F3610"/>
    <w:rsid w:val="003755D8"/>
    <w:rsid w:val="006E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6E2FB9-9C2F-462F-B275-21E4461AB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61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Hertfordshire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Bieraugel</dc:creator>
  <cp:keywords/>
  <dc:description/>
  <cp:lastModifiedBy>Rebecca Bieraugel</cp:lastModifiedBy>
  <cp:revision>1</cp:revision>
  <dcterms:created xsi:type="dcterms:W3CDTF">2019-04-25T11:28:00Z</dcterms:created>
  <dcterms:modified xsi:type="dcterms:W3CDTF">2019-04-25T11:29:00Z</dcterms:modified>
</cp:coreProperties>
</file>